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29" w:rsidRPr="004536AF" w:rsidRDefault="000E6392" w:rsidP="000E6392">
      <w:pPr>
        <w:jc w:val="center"/>
        <w:rPr>
          <w:rFonts w:ascii="Times New Roman" w:hAnsi="Times New Roman" w:cs="Times New Roman"/>
          <w:b/>
          <w:sz w:val="56"/>
          <w:szCs w:val="56"/>
        </w:rPr>
      </w:pPr>
      <w:bookmarkStart w:id="0" w:name="_GoBack"/>
      <w:bookmarkEnd w:id="0"/>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9"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10"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1"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2" w:history="1">
        <w:r w:rsidRPr="0068558A">
          <w:t>частями 2</w:t>
        </w:r>
      </w:hyperlink>
      <w:r w:rsidRPr="0068558A">
        <w:t xml:space="preserve"> - </w:t>
      </w:r>
      <w:hyperlink r:id="rId13"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4" w:history="1">
        <w:r w:rsidRPr="0068558A">
          <w:t>статьей 12</w:t>
        </w:r>
      </w:hyperlink>
      <w:r w:rsidRPr="0068558A">
        <w:t xml:space="preserve"> или с </w:t>
      </w:r>
      <w:hyperlink r:id="rId15"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6" w:history="1">
        <w:r w:rsidRPr="005C6A97">
          <w:t>конкуренции</w:t>
        </w:r>
      </w:hyperlink>
      <w:r w:rsidRPr="005C6A97">
        <w:t xml:space="preserve">, а также злоупотребление </w:t>
      </w:r>
      <w:hyperlink r:id="rId17" w:history="1">
        <w:r w:rsidRPr="005C6A97">
          <w:t>доминирующим положением</w:t>
        </w:r>
      </w:hyperlink>
      <w:r w:rsidRPr="005C6A97">
        <w:t xml:space="preserve"> на рынке. </w:t>
      </w:r>
    </w:p>
    <w:p w:rsidR="005C629F" w:rsidRPr="005C6A97" w:rsidRDefault="00B0006F" w:rsidP="005C629F">
      <w:pPr>
        <w:pStyle w:val="ConsPlusNormal"/>
        <w:ind w:firstLine="709"/>
        <w:jc w:val="both"/>
      </w:pPr>
      <w:hyperlink r:id="rId18"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9" w:history="1">
        <w:r w:rsidRPr="005C6A97">
          <w:t>части 2 статьи 10</w:t>
        </w:r>
      </w:hyperlink>
      <w:r w:rsidRPr="005C6A97">
        <w:t xml:space="preserve">, </w:t>
      </w:r>
      <w:hyperlink r:id="rId20"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1"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2"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3"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4"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5"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6"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7"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8"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9"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30"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1"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2"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9" w:name="OLE_LINK10"/>
      <w:r w:rsidRPr="00D52262">
        <w:rPr>
          <w:rFonts w:ascii="Times New Roman" w:eastAsia="Calibri" w:hAnsi="Times New Roman" w:cs="Times New Roman"/>
          <w:b/>
          <w:bCs/>
          <w:sz w:val="28"/>
          <w:szCs w:val="28"/>
        </w:rPr>
        <w:t>злоупотребления доминирующим положением</w:t>
      </w:r>
      <w:bookmarkEnd w:id="9"/>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10"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10"/>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Приказом ФАС России от 22.01.2016 № 57/16 утвержден </w:t>
      </w:r>
      <w:hyperlink r:id="rId33"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4"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5"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6"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7"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 Rate 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1" w:name="_Toc487453732"/>
      <w:bookmarkStart w:id="12" w:name="_Toc487453859"/>
      <w:bookmarkStart w:id="13" w:name="_Toc487488266"/>
      <w:bookmarkStart w:id="14" w:name="_Toc487488499"/>
      <w:bookmarkStart w:id="15" w:name="_Toc487657897"/>
      <w:bookmarkStart w:id="16" w:name="_Toc489368942"/>
      <w:bookmarkStart w:id="17"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1"/>
      <w:bookmarkEnd w:id="12"/>
      <w:bookmarkEnd w:id="13"/>
      <w:bookmarkEnd w:id="14"/>
      <w:bookmarkEnd w:id="15"/>
      <w:bookmarkEnd w:id="16"/>
      <w:bookmarkEnd w:id="17"/>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8" w:name="_Toc487453733"/>
      <w:bookmarkStart w:id="19" w:name="_Toc487453860"/>
      <w:bookmarkStart w:id="20" w:name="_Toc487488267"/>
      <w:bookmarkStart w:id="21" w:name="_Toc487488500"/>
      <w:bookmarkStart w:id="22" w:name="_Toc487657898"/>
      <w:bookmarkStart w:id="23" w:name="_Toc489368943"/>
      <w:bookmarkStart w:id="24"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18"/>
      <w:bookmarkEnd w:id="19"/>
      <w:bookmarkEnd w:id="20"/>
      <w:bookmarkEnd w:id="21"/>
      <w:bookmarkEnd w:id="22"/>
      <w:bookmarkEnd w:id="23"/>
      <w:bookmarkEnd w:id="24"/>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06F" w:rsidRDefault="00B0006F" w:rsidP="000B72A0">
      <w:pPr>
        <w:spacing w:after="0" w:line="240" w:lineRule="auto"/>
      </w:pPr>
      <w:r>
        <w:separator/>
      </w:r>
    </w:p>
  </w:endnote>
  <w:endnote w:type="continuationSeparator" w:id="0">
    <w:p w:rsidR="00B0006F" w:rsidRDefault="00B0006F"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491150">
          <w:rPr>
            <w:noProof/>
          </w:rPr>
          <w:t>2</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06F" w:rsidRDefault="00B0006F" w:rsidP="000B72A0">
      <w:pPr>
        <w:spacing w:after="0" w:line="240" w:lineRule="auto"/>
      </w:pPr>
      <w:r>
        <w:separator/>
      </w:r>
    </w:p>
  </w:footnote>
  <w:footnote w:type="continuationSeparator" w:id="0">
    <w:p w:rsidR="00B0006F" w:rsidRDefault="00B0006F"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3F"/>
    <w:rsid w:val="000B72A0"/>
    <w:rsid w:val="000E6392"/>
    <w:rsid w:val="0015341E"/>
    <w:rsid w:val="001E163F"/>
    <w:rsid w:val="00245C27"/>
    <w:rsid w:val="003551B0"/>
    <w:rsid w:val="00361F88"/>
    <w:rsid w:val="00401C4A"/>
    <w:rsid w:val="00426657"/>
    <w:rsid w:val="004536AF"/>
    <w:rsid w:val="00491150"/>
    <w:rsid w:val="0057567A"/>
    <w:rsid w:val="00582129"/>
    <w:rsid w:val="005C629F"/>
    <w:rsid w:val="0064464E"/>
    <w:rsid w:val="00771783"/>
    <w:rsid w:val="00797FDC"/>
    <w:rsid w:val="00836940"/>
    <w:rsid w:val="008B3A19"/>
    <w:rsid w:val="008D01C1"/>
    <w:rsid w:val="008F2521"/>
    <w:rsid w:val="009746F9"/>
    <w:rsid w:val="00B0006F"/>
    <w:rsid w:val="00B243F6"/>
    <w:rsid w:val="00B56DC6"/>
    <w:rsid w:val="00B65DDA"/>
    <w:rsid w:val="00C601CB"/>
    <w:rsid w:val="00C92207"/>
    <w:rsid w:val="00D52262"/>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FD3238610D79BB722C5BE30ADF45F80EF33F9C830225137D0F8BE2817B961F7562191821sCwBM" TargetMode="External"/><Relationship Id="rId18" Type="http://schemas.openxmlformats.org/officeDocument/2006/relationships/hyperlink" Target="consultantplus://offline/ref=754358845FA9443708A431EB43735FAEE9B6BA3B1999E51F6142E12C0C12B5CC61E18CD0DCA75D57jBu7H" TargetMode="External"/><Relationship Id="rId26" Type="http://schemas.openxmlformats.org/officeDocument/2006/relationships/hyperlink" Target="consultantplus://offline/ref=BC5DE95A317017FD78D3C1BDF1CEA7A75E56CD12EAAB26A58358CF90AF806C2779FBA5D92EzEr6K" TargetMode="External"/><Relationship Id="rId39" Type="http://schemas.openxmlformats.org/officeDocument/2006/relationships/fontTable" Target="fontTable.xml"/><Relationship Id="rId21" Type="http://schemas.openxmlformats.org/officeDocument/2006/relationships/hyperlink" Target="consultantplus://offline/ref=0F495E591AB536EC9AE528730B86D2F77C68E54F186016D04D5CB2E6E1854FC3583C9457A31CF574vAP4I" TargetMode="External"/><Relationship Id="rId34" Type="http://schemas.openxmlformats.org/officeDocument/2006/relationships/hyperlink" Target="consultantplus://offline/ref=6E4AF185DFCCF154F828145B385ABC2AB0B7BE254EA0F4849AA7E9A64976C5984131386EAAs7r9K" TargetMode="External"/><Relationship Id="rId7" Type="http://schemas.openxmlformats.org/officeDocument/2006/relationships/footnotes" Target="footnotes.xml"/><Relationship Id="rId12" Type="http://schemas.openxmlformats.org/officeDocument/2006/relationships/hyperlink" Target="consultantplus://offline/ref=5DFD3238610D79BB722C5BE30ADF45F80EF33F9C830225137D0F8BE2817B961F7562191821sCwFM" TargetMode="External"/><Relationship Id="rId17" Type="http://schemas.openxmlformats.org/officeDocument/2006/relationships/hyperlink" Target="consultantplus://offline/ref=CF2E04729FE8D414552EF5A7AA9D7CA1ECFEAA379D85858CB6F9EA983C2D19ADA634D8FC92973942XBRBI" TargetMode="External"/><Relationship Id="rId25" Type="http://schemas.openxmlformats.org/officeDocument/2006/relationships/hyperlink" Target="consultantplus://offline/ref=0F495E591AB536EC9AE528730B86D2F77C68E54F186016D04D5CB2E6E1854FC3583C9455A3v1PCI" TargetMode="External"/><Relationship Id="rId33" Type="http://schemas.openxmlformats.org/officeDocument/2006/relationships/hyperlink" Target="consultantplus://offline/ref=8DB6362BFEA32E469D59BB7D7C44534AB50B12276766079019F36EB40DD2FAC1D927734E33F3C16An6M3H"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5XBRCI" TargetMode="External"/><Relationship Id="rId20" Type="http://schemas.openxmlformats.org/officeDocument/2006/relationships/hyperlink" Target="consultantplus://offline/ref=328F5D8B6ABBBFF60CE707213488FF672C265DF0A20D8E6B5B2939B8F823948189EDDF82E2N7vFH" TargetMode="External"/><Relationship Id="rId29" Type="http://schemas.openxmlformats.org/officeDocument/2006/relationships/hyperlink" Target="consultantplus://offline/ref=BC5DE95A317017FD78D3C1BDF1CEA7A75E56CD12EAAB26A58358CF90AF806C2779FBA5DD2DE186FEz1r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27A05F0C9590DCFF9DEACC093E94513169B49EF00391799C2B19FFC640464E9E50563E25MFHAM" TargetMode="External"/><Relationship Id="rId24" Type="http://schemas.openxmlformats.org/officeDocument/2006/relationships/hyperlink" Target="consultantplus://offline/ref=0F495E591AB536EC9AE528730B86D2F77C68E54F186016D04D5CB2E6E1854FC3583C9457A31CF47DvAP5I" TargetMode="External"/><Relationship Id="rId32" Type="http://schemas.openxmlformats.org/officeDocument/2006/relationships/hyperlink" Target="consultantplus://offline/ref=BC5DE95A317017FD78D3C1BDF1CEA7A75E56CD12EAAB26A58358CF90AF806C2779FBA5DF28zEr2K" TargetMode="External"/><Relationship Id="rId37" Type="http://schemas.openxmlformats.org/officeDocument/2006/relationships/hyperlink" Target="consultantplus://offline/ref=6E4AF185DFCCF154F828145B385ABC2AB0B6B9244EA6F4849AA7E9A64976C59841313865AFs7r0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DFD3238610D79BB722C5BE30ADF45F80EF33F9C830225137D0F8BE2817B961F7562191824sCwEM" TargetMode="External"/><Relationship Id="rId23" Type="http://schemas.openxmlformats.org/officeDocument/2006/relationships/hyperlink" Target="consultantplus://offline/ref=0F495E591AB536EC9AE528730B86D2F77C68E54F186016D04D5CB2E6E1854FC3583C9457A31CF47DvAP6I" TargetMode="External"/><Relationship Id="rId28" Type="http://schemas.openxmlformats.org/officeDocument/2006/relationships/hyperlink" Target="consultantplus://offline/ref=BC5DE95A317017FD78D3C1BDF1CEA7A75E56CD12EAAB26A58358CF90AF806C2779FBA5DD2DE186FEz1r6K" TargetMode="External"/><Relationship Id="rId36" Type="http://schemas.openxmlformats.org/officeDocument/2006/relationships/hyperlink" Target="consultantplus://offline/ref=6E4AF185DFCCF154F828145B385ABC2AB0B6B9244EA6F4849AA7E9A64976C5984131386CAD79167DsBr4K" TargetMode="External"/><Relationship Id="rId10" Type="http://schemas.openxmlformats.org/officeDocument/2006/relationships/hyperlink" Target="consultantplus://offline/ref=343B1993C5FD204A2E04C8FF0D39E17B0760D592EFBFB25210210346CAC32092C4ED456829D8G0M" TargetMode="External"/><Relationship Id="rId19" Type="http://schemas.openxmlformats.org/officeDocument/2006/relationships/hyperlink" Target="consultantplus://offline/ref=328F5D8B6ABBBFF60CE707213488FF672C265DF0A20D8E6B5B2939B8F823948189EDDF85E57BE9ABN2vDH" TargetMode="External"/><Relationship Id="rId31" Type="http://schemas.openxmlformats.org/officeDocument/2006/relationships/hyperlink" Target="consultantplus://offline/ref=BC5DE95A317017FD78D3C1BDF1CEA7A75E56CD12EAAB26A58358CF90AF806C2779FBA5DD2DE186FEz1r7K" TargetMode="External"/><Relationship Id="rId4" Type="http://schemas.microsoft.com/office/2007/relationships/stylesWithEffects" Target="stylesWithEffects.xml"/><Relationship Id="rId9" Type="http://schemas.openxmlformats.org/officeDocument/2006/relationships/hyperlink" Target="consultantplus://offline/ref=C90ECD3A4076B14028AB480C8DE99C960F219DEE4C6FB7627D38291E7FF923A1AEDBDA984E1862B6v2I" TargetMode="External"/><Relationship Id="rId14" Type="http://schemas.openxmlformats.org/officeDocument/2006/relationships/hyperlink" Target="consultantplus://offline/ref=5DFD3238610D79BB722C5BE30ADF45F80EF33F9C830225137D0F8BE2817B961F7562191A20CF6839sCw1M" TargetMode="External"/><Relationship Id="rId22" Type="http://schemas.openxmlformats.org/officeDocument/2006/relationships/hyperlink" Target="consultantplus://offline/ref=0F495E591AB536EC9AE528730B86D2F77C68E54F186016D04D5CB2E6E1854FC3583C9457A31CF574vAP0I" TargetMode="External"/><Relationship Id="rId27" Type="http://schemas.openxmlformats.org/officeDocument/2006/relationships/hyperlink" Target="consultantplus://offline/ref=BC5DE95A317017FD78D3C1BDF1CEA7A75E57C91EEEAF26A58358CF90AF806C2779FBA5DD2DE186FEz1rDK" TargetMode="External"/><Relationship Id="rId30" Type="http://schemas.openxmlformats.org/officeDocument/2006/relationships/hyperlink" Target="consultantplus://offline/ref=BC5DE95A317017FD78D3C1BDF1CEA7A75E56CD12EAAB26A58358CF90AF806C2779FBA5DD2DE187F7z1rCK" TargetMode="External"/><Relationship Id="rId35" Type="http://schemas.openxmlformats.org/officeDocument/2006/relationships/hyperlink" Target="consultantplus://offline/ref=09CBC6E7B368B42C2DA398624CCD91C5F30E8A08CE51A27176501BDE84D4A18D50CB80E29ABBx1G" TargetMode="Externa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68DDD-A9FA-4FA5-B556-5D06FDE1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48030</Words>
  <Characters>273775</Characters>
  <Application>Microsoft Office Word</Application>
  <DocSecurity>0</DocSecurity>
  <Lines>2281</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Microsoft Office</cp:lastModifiedBy>
  <cp:revision>2</cp:revision>
  <cp:lastPrinted>2017-05-30T15:02:00Z</cp:lastPrinted>
  <dcterms:created xsi:type="dcterms:W3CDTF">2017-09-19T12:46:00Z</dcterms:created>
  <dcterms:modified xsi:type="dcterms:W3CDTF">2017-09-19T12:46:00Z</dcterms:modified>
</cp:coreProperties>
</file>